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CE" w:rsidRDefault="00342751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proofErr w:type="gramStart"/>
      <w:r w:rsidRPr="00342751">
        <w:rPr>
          <w:rFonts w:ascii="Arial" w:hAnsi="Arial"/>
          <w:b/>
          <w:bCs/>
        </w:rPr>
        <w:t>University</w:t>
      </w:r>
      <w:r>
        <w:rPr>
          <w:rFonts w:ascii="Arial" w:hAnsi="Arial"/>
        </w:rPr>
        <w:t xml:space="preserve"> :</w:t>
      </w:r>
      <w:r w:rsidR="00390BCE" w:rsidRPr="002A2D8E">
        <w:rPr>
          <w:rFonts w:ascii="Arial" w:hAnsi="Arial"/>
        </w:rPr>
        <w:t>Benha</w:t>
      </w:r>
      <w:proofErr w:type="gramEnd"/>
      <w:r w:rsidR="00390BCE">
        <w:rPr>
          <w:rFonts w:ascii="Arial" w:hAnsi="Arial"/>
          <w:b/>
          <w:bCs/>
        </w:rPr>
        <w:t xml:space="preserve">          </w:t>
      </w:r>
      <w:bookmarkStart w:id="0" w:name="_GoBack"/>
      <w:bookmarkEnd w:id="0"/>
      <w:r w:rsidR="00390BCE">
        <w:rPr>
          <w:rFonts w:ascii="Arial" w:hAnsi="Arial"/>
          <w:b/>
          <w:bCs/>
        </w:rPr>
        <w:t xml:space="preserve">                                    Faculty </w:t>
      </w:r>
      <w:r>
        <w:rPr>
          <w:rFonts w:ascii="Arial" w:hAnsi="Arial"/>
        </w:rPr>
        <w:t xml:space="preserve"> : </w:t>
      </w:r>
      <w:r w:rsidR="00390BCE" w:rsidRPr="00644714">
        <w:rPr>
          <w:rFonts w:ascii="Arial" w:hAnsi="Arial"/>
        </w:rPr>
        <w:t>Agriculture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</w:rPr>
      </w:pPr>
      <w:r w:rsidRPr="00AF3EFB">
        <w:rPr>
          <w:rFonts w:ascii="Arial" w:hAnsi="Arial"/>
          <w:b/>
          <w:bCs/>
          <w:sz w:val="21"/>
          <w:szCs w:val="21"/>
        </w:rPr>
        <w:t>Programs on which the course is given: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Agricultural Biotechnology</w:t>
      </w:r>
      <w:r>
        <w:rPr>
          <w:rFonts w:ascii="Arial" w:hAnsi="Arial"/>
          <w:sz w:val="21"/>
          <w:szCs w:val="21"/>
        </w:rPr>
        <w:t xml:space="preserve">, Food Safety &amp; Agri-Business Programs.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Major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390BCE" w:rsidRDefault="00390BCE" w:rsidP="0034275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English </w:t>
      </w:r>
      <w:r w:rsidR="00342751">
        <w:rPr>
          <w:rFonts w:ascii="Arial" w:hAnsi="Arial"/>
        </w:rPr>
        <w:t>1</w:t>
      </w:r>
      <w:r>
        <w:rPr>
          <w:rFonts w:ascii="Arial" w:hAnsi="Arial"/>
        </w:rPr>
        <w:t xml:space="preserve">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level/1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semester</w:t>
      </w:r>
    </w:p>
    <w:p w:rsidR="00390BCE" w:rsidRPr="00995987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390BCE" w:rsidRDefault="00390BCE" w:rsidP="0034275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English </w:t>
      </w:r>
      <w:r w:rsidR="00342751">
        <w:rPr>
          <w:rFonts w:ascii="Arial" w:hAnsi="Arial"/>
          <w:b/>
          <w:bCs/>
        </w:rPr>
        <w:t>1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CJ 1201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Hours Lecture: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390BCE" w:rsidRPr="00390BCE" w:rsidRDefault="00390BCE" w:rsidP="00390BCE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bidi="ar-EG"/>
        </w:rPr>
      </w:pP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The course aims at making the student be familiar with the use of English language to express himself /herself in proper English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.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</w:t>
      </w:r>
      <w:proofErr w:type="gramStart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D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ifferentiati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on  between</w:t>
      </w:r>
      <w:proofErr w:type="gramEnd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spoken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English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and written English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is covered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. Basic grammar and vocabulary are taught in this course.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Differences between British UK and American </w:t>
      </w:r>
      <w:proofErr w:type="gramStart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USA  English</w:t>
      </w:r>
      <w:proofErr w:type="gramEnd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 from the viewpoints of use, spelling , phonetics and speech-sound differences are viewed and  included.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Combining comprehension with awareness is </w:t>
      </w:r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part of the </w:t>
      </w:r>
      <w:proofErr w:type="gramStart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>course .</w:t>
      </w:r>
      <w:proofErr w:type="gramEnd"/>
      <w:r w:rsidRPr="00390BCE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</w:t>
      </w:r>
    </w:p>
    <w:p w:rsidR="00390BCE" w:rsidRP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bidi="ar-EG"/>
        </w:rPr>
      </w:pPr>
    </w:p>
    <w:p w:rsidR="00390BCE" w:rsidRDefault="00390BCE" w:rsidP="00390BCE">
      <w:pPr>
        <w:spacing w:after="0"/>
        <w:ind w:firstLine="720"/>
        <w:jc w:val="lowKashida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390BCE" w:rsidRDefault="00390BCE" w:rsidP="00DC474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</w:t>
      </w:r>
      <w:r w:rsidR="004519AA">
        <w:rPr>
          <w:rFonts w:ascii="Arial" w:hAnsi="Arial"/>
        </w:rPr>
        <w:t>Viewing</w:t>
      </w:r>
      <w:r w:rsidR="00DC4746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English language </w:t>
      </w:r>
      <w:r w:rsidR="00DC4746">
        <w:rPr>
          <w:rFonts w:ascii="Arial" w:hAnsi="Arial"/>
        </w:rPr>
        <w:t xml:space="preserve">as a living international language. </w:t>
      </w:r>
      <w:r>
        <w:rPr>
          <w:rFonts w:ascii="Arial" w:hAnsi="Arial"/>
        </w:rPr>
        <w:t xml:space="preserve"> </w:t>
      </w:r>
    </w:p>
    <w:p w:rsidR="00390BCE" w:rsidRDefault="00390BCE" w:rsidP="00DC474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</w:t>
      </w:r>
      <w:r w:rsidR="00DC4746">
        <w:rPr>
          <w:rFonts w:ascii="Arial" w:hAnsi="Arial"/>
        </w:rPr>
        <w:t>English language from the grammar perspective.</w:t>
      </w:r>
      <w:r>
        <w:rPr>
          <w:rFonts w:ascii="Arial" w:hAnsi="Arial"/>
        </w:rPr>
        <w:t xml:space="preserve"> </w:t>
      </w:r>
    </w:p>
    <w:p w:rsidR="00390BCE" w:rsidRPr="005258A1" w:rsidRDefault="00390BCE" w:rsidP="00DC474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</w:t>
      </w:r>
      <w:r w:rsidR="00DC4746">
        <w:rPr>
          <w:rFonts w:ascii="Arial" w:hAnsi="Arial"/>
        </w:rPr>
        <w:t>individual abilities to difficulties for English language users.</w:t>
      </w:r>
    </w:p>
    <w:p w:rsidR="00390BCE" w:rsidRPr="005258A1" w:rsidRDefault="00390BCE" w:rsidP="00DC474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a.4.Develop</w:t>
      </w:r>
      <w:proofErr w:type="gramEnd"/>
      <w:r>
        <w:rPr>
          <w:rFonts w:ascii="Arial" w:hAnsi="Arial"/>
        </w:rPr>
        <w:t xml:space="preserve"> </w:t>
      </w:r>
      <w:r w:rsidR="00DC4746">
        <w:rPr>
          <w:rFonts w:ascii="Arial" w:hAnsi="Arial"/>
        </w:rPr>
        <w:t xml:space="preserve">strong knowledge of differentiation between spoken and written English </w:t>
      </w:r>
      <w:r>
        <w:rPr>
          <w:rFonts w:ascii="Arial" w:hAnsi="Arial"/>
        </w:rPr>
        <w:t>.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b- Intellectual skills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b1-Compare</w:t>
      </w:r>
      <w:proofErr w:type="gramEnd"/>
      <w:r>
        <w:rPr>
          <w:rFonts w:ascii="Arial" w:hAnsi="Arial"/>
        </w:rPr>
        <w:t xml:space="preserve"> different </w:t>
      </w:r>
      <w:r w:rsidR="00DC4746">
        <w:rPr>
          <w:rFonts w:ascii="Arial" w:hAnsi="Arial"/>
        </w:rPr>
        <w:t>ways</w:t>
      </w:r>
      <w:r>
        <w:rPr>
          <w:rFonts w:ascii="Arial" w:hAnsi="Arial"/>
        </w:rPr>
        <w:t xml:space="preserve"> of </w:t>
      </w:r>
      <w:r w:rsidR="00942A08">
        <w:rPr>
          <w:rFonts w:ascii="Arial" w:hAnsi="Arial"/>
        </w:rPr>
        <w:t>statement presentation</w:t>
      </w:r>
      <w:r>
        <w:rPr>
          <w:rFonts w:ascii="Arial" w:hAnsi="Arial"/>
        </w:rPr>
        <w:t>.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b2-Contrast</w:t>
      </w:r>
      <w:proofErr w:type="gramEnd"/>
      <w:r>
        <w:rPr>
          <w:rFonts w:ascii="Arial" w:hAnsi="Arial"/>
        </w:rPr>
        <w:t xml:space="preserve"> </w:t>
      </w:r>
      <w:r w:rsidR="00942A08">
        <w:rPr>
          <w:rFonts w:ascii="Arial" w:hAnsi="Arial"/>
        </w:rPr>
        <w:t>contracted with formal English.</w:t>
      </w:r>
    </w:p>
    <w:p w:rsidR="00390BCE" w:rsidRPr="00793D41" w:rsidRDefault="00390BCE" w:rsidP="00942A08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" w:hAnsi="Arial"/>
        </w:rPr>
        <w:t xml:space="preserve">b3-Classify different </w:t>
      </w:r>
      <w:r w:rsidR="00942A08">
        <w:rPr>
          <w:rFonts w:ascii="Arial" w:hAnsi="Arial"/>
        </w:rPr>
        <w:t xml:space="preserve">styles of </w:t>
      </w:r>
      <w:proofErr w:type="gramStart"/>
      <w:r w:rsidRPr="00AE20B9">
        <w:rPr>
          <w:rFonts w:ascii="Arial" w:hAnsi="Arial"/>
        </w:rPr>
        <w:t xml:space="preserve">Scientific  </w:t>
      </w:r>
      <w:r>
        <w:rPr>
          <w:rFonts w:ascii="Arial" w:hAnsi="Arial"/>
        </w:rPr>
        <w:t>English</w:t>
      </w:r>
      <w:proofErr w:type="gramEnd"/>
    </w:p>
    <w:p w:rsidR="00390BCE" w:rsidRPr="00A66AB5" w:rsidRDefault="00390BCE" w:rsidP="0034275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c1-</w:t>
      </w:r>
      <w:proofErr w:type="gramEnd"/>
      <w:r>
        <w:rPr>
          <w:rFonts w:ascii="Arial" w:hAnsi="Arial"/>
        </w:rPr>
        <w:t xml:space="preserve"> Assess ,comprehend and </w:t>
      </w:r>
      <w:r w:rsidR="00942A08">
        <w:rPr>
          <w:rFonts w:ascii="Arial" w:hAnsi="Arial"/>
        </w:rPr>
        <w:t xml:space="preserve"> differentiate different </w:t>
      </w:r>
      <w:r>
        <w:rPr>
          <w:rFonts w:ascii="Arial" w:hAnsi="Arial"/>
        </w:rPr>
        <w:t>writings</w:t>
      </w:r>
      <w:r w:rsidR="00942A08">
        <w:rPr>
          <w:rFonts w:ascii="Arial" w:hAnsi="Arial"/>
        </w:rPr>
        <w:t xml:space="preserve"> in English</w:t>
      </w:r>
      <w:r>
        <w:rPr>
          <w:rFonts w:ascii="Arial" w:hAnsi="Arial"/>
        </w:rPr>
        <w:t>.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 w:rsidR="00942A08">
        <w:rPr>
          <w:rFonts w:ascii="Arial" w:hAnsi="Arial"/>
        </w:rPr>
        <w:t xml:space="preserve">Comprehend </w:t>
      </w:r>
      <w:r>
        <w:rPr>
          <w:rFonts w:ascii="Arial" w:hAnsi="Arial"/>
        </w:rPr>
        <w:t xml:space="preserve"> </w:t>
      </w:r>
      <w:r w:rsidR="00942A08">
        <w:rPr>
          <w:rFonts w:ascii="Arial" w:hAnsi="Arial"/>
        </w:rPr>
        <w:t>English passages in scientific matters.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Select </w:t>
      </w:r>
      <w:r w:rsidR="00942A08">
        <w:rPr>
          <w:rFonts w:ascii="Arial" w:hAnsi="Arial"/>
        </w:rPr>
        <w:t xml:space="preserve">means </w:t>
      </w:r>
      <w:r>
        <w:rPr>
          <w:rFonts w:ascii="Arial" w:hAnsi="Arial"/>
        </w:rPr>
        <w:t xml:space="preserve">for </w:t>
      </w:r>
      <w:r w:rsidR="00942A08">
        <w:rPr>
          <w:rFonts w:ascii="Arial" w:hAnsi="Arial"/>
        </w:rPr>
        <w:t>assessing definition English.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</w:t>
      </w:r>
      <w:r w:rsidR="00942A08">
        <w:rPr>
          <w:rFonts w:ascii="Arial" w:hAnsi="Arial"/>
        </w:rPr>
        <w:t>Determinate and indeterminate expressions</w:t>
      </w:r>
      <w:r>
        <w:rPr>
          <w:rFonts w:ascii="Arial" w:hAnsi="Arial"/>
        </w:rPr>
        <w:t xml:space="preserve">. </w:t>
      </w:r>
    </w:p>
    <w:p w:rsidR="00390BCE" w:rsidRPr="00A66AB5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Participation in  </w:t>
      </w:r>
      <w:r w:rsidR="00942A08">
        <w:rPr>
          <w:rFonts w:ascii="Arial" w:hAnsi="Arial"/>
        </w:rPr>
        <w:t>dialogue</w:t>
      </w:r>
      <w:r>
        <w:rPr>
          <w:rFonts w:ascii="Arial" w:hAnsi="Arial"/>
        </w:rPr>
        <w:t xml:space="preserve">  work  groups.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</w:t>
      </w:r>
      <w:r w:rsidR="00942A08">
        <w:rPr>
          <w:rFonts w:ascii="Arial" w:hAnsi="Arial"/>
        </w:rPr>
        <w:t xml:space="preserve"> English language and science.</w:t>
      </w:r>
      <w:r>
        <w:rPr>
          <w:rFonts w:ascii="Arial" w:hAnsi="Arial"/>
        </w:rPr>
        <w:t xml:space="preserve"> </w:t>
      </w:r>
    </w:p>
    <w:p w:rsidR="00390BCE" w:rsidRDefault="00390BCE" w:rsidP="00942A0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</w:t>
      </w:r>
      <w:r w:rsidR="00942A08">
        <w:rPr>
          <w:rFonts w:ascii="Arial" w:hAnsi="Arial"/>
        </w:rPr>
        <w:t>F</w:t>
      </w:r>
      <w:r>
        <w:rPr>
          <w:rFonts w:ascii="Arial" w:hAnsi="Arial"/>
        </w:rPr>
        <w:t xml:space="preserve">amiliarize with </w:t>
      </w:r>
      <w:r w:rsidR="00942A08">
        <w:rPr>
          <w:rFonts w:ascii="Arial" w:hAnsi="Arial"/>
        </w:rPr>
        <w:t>different style of English language use</w:t>
      </w:r>
      <w:r>
        <w:rPr>
          <w:rFonts w:ascii="Arial" w:hAnsi="Arial"/>
        </w:rPr>
        <w:t>..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Use the Web net.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0BCE" w:rsidRPr="00F00BC5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Arial" w:hAnsi="Arial"/>
          <w:b/>
          <w:bCs/>
        </w:rPr>
        <w:t>3- Contents:</w:t>
      </w:r>
    </w:p>
    <w:tbl>
      <w:tblPr>
        <w:bidiVisual/>
        <w:tblW w:w="951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2"/>
        <w:gridCol w:w="1032"/>
        <w:gridCol w:w="6984"/>
      </w:tblGrid>
      <w:tr w:rsidR="00390BCE" w:rsidRPr="00832C46" w:rsidTr="00CA5BC2">
        <w:trPr>
          <w:trHeight w:val="113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Lectures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Hours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Topic</w:t>
            </w:r>
          </w:p>
        </w:tc>
      </w:tr>
      <w:tr w:rsidR="00390BCE" w:rsidRPr="00832C46" w:rsidTr="00CA5BC2">
        <w:trPr>
          <w:trHeight w:val="301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BA0A74" w:rsidRDefault="00942A08" w:rsidP="00FD0C7A">
            <w:pPr>
              <w:spacing w:after="0" w:line="240" w:lineRule="auto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Language </w:t>
            </w:r>
            <w:proofErr w:type="gramStart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a</w:t>
            </w:r>
            <w:r w:rsidR="004519AA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  a</w:t>
            </w:r>
            <w:proofErr w:type="gramEnd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 means of communication.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60510" w:rsidRDefault="00F60510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60510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Simplified English.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BA0A74" w:rsidRDefault="00F60510" w:rsidP="004519AA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Passages </w:t>
            </w:r>
            <w:r w:rsidR="004519AA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of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some scientific aspect</w:t>
            </w:r>
            <w:r w:rsidR="004519AA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with drills</w:t>
            </w:r>
            <w:r w:rsidR="00390BCE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BA0A74" w:rsidRDefault="00F60510" w:rsidP="004519A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Informative statements.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D0C7A" w:rsidRDefault="00F60510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Countable and uncountable nouns.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D0C7A" w:rsidRDefault="00F60510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Difficulties for English language users.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D0C7A" w:rsidRDefault="00F60510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Comparative (qualified and unqualified) statements.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D0C7A" w:rsidRDefault="004519AA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4519AA">
              <w:rPr>
                <w:rFonts w:ascii="Times New Roman" w:hAnsi="Times New Roman" w:cs="Times New Roman"/>
                <w:spacing w:val="-4"/>
                <w:sz w:val="20"/>
                <w:szCs w:val="20"/>
                <w:lang w:bidi="ar-EG"/>
              </w:rPr>
              <w:t xml:space="preserve">British UK and American USA  English  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BA0A74" w:rsidRDefault="004A1BB7" w:rsidP="004519A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V</w:t>
            </w:r>
            <w:r w:rsidRPr="00DC4746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ocabulary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and grammar </w:t>
            </w:r>
            <w:r w:rsidR="004519AA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&amp;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idiom of English</w:t>
            </w:r>
            <w:r w:rsidR="004519AA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language.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FD0C7A" w:rsidRDefault="004A1BB7" w:rsidP="00FD0C7A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B015D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Determinate indeterminate expressions.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90BCE" w:rsidRPr="00BA0A74" w:rsidRDefault="00FD0C7A" w:rsidP="00FD0C7A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EG"/>
              </w:rPr>
              <w:t xml:space="preserve">Passive and active speech  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FD0C7A" w:rsidP="00FD0C7A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Some rules on verb conjugation.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FD0C7A" w:rsidP="00FD0C7A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More 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r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ules on verb conjugation.</w:t>
            </w:r>
          </w:p>
        </w:tc>
      </w:tr>
      <w:tr w:rsidR="00390BCE" w:rsidRPr="00832C46" w:rsidTr="00CA5BC2">
        <w:trPr>
          <w:trHeight w:val="102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390BCE" w:rsidP="00CA5B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BA0A74"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0BCE" w:rsidRPr="00BA0A74" w:rsidRDefault="00F60510" w:rsidP="00FD0C7A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General </w:t>
            </w:r>
            <w:r w:rsidR="00390BCE">
              <w:rPr>
                <w:rFonts w:asciiTheme="majorBidi" w:hAnsiTheme="majorBidi" w:cstheme="majorBidi"/>
                <w:sz w:val="21"/>
                <w:szCs w:val="21"/>
              </w:rPr>
              <w:t xml:space="preserve">revision of </w:t>
            </w:r>
            <w:r w:rsidR="00FD0C7A">
              <w:rPr>
                <w:rFonts w:asciiTheme="majorBidi" w:hAnsiTheme="majorBidi" w:cstheme="majorBidi"/>
                <w:sz w:val="21"/>
                <w:szCs w:val="21"/>
              </w:rPr>
              <w:t xml:space="preserve">the </w:t>
            </w:r>
            <w:r w:rsidR="00390BCE">
              <w:rPr>
                <w:rFonts w:asciiTheme="majorBidi" w:hAnsiTheme="majorBidi" w:cstheme="majorBidi"/>
                <w:sz w:val="21"/>
                <w:szCs w:val="21"/>
              </w:rPr>
              <w:t>course.</w:t>
            </w:r>
          </w:p>
        </w:tc>
      </w:tr>
    </w:tbl>
    <w:p w:rsidR="00390BCE" w:rsidRPr="00EA01E2" w:rsidRDefault="00390BCE" w:rsidP="00FD0C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EA01E2">
        <w:rPr>
          <w:rFonts w:asciiTheme="majorBidi" w:hAnsiTheme="majorBidi" w:cstheme="majorBidi"/>
          <w:b/>
          <w:bCs/>
        </w:rPr>
        <w:t>4– Teaching and learning methods</w:t>
      </w:r>
      <w:r w:rsidR="00FD0C7A">
        <w:rPr>
          <w:rFonts w:asciiTheme="majorBidi" w:hAnsiTheme="majorBidi" w:cstheme="majorBidi"/>
          <w:b/>
          <w:bCs/>
        </w:rPr>
        <w:t xml:space="preserve">   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4.1- Lectures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4.2-Assignments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4.3-</w:t>
      </w:r>
      <w:r>
        <w:rPr>
          <w:rFonts w:asciiTheme="majorBidi" w:hAnsiTheme="majorBidi" w:cstheme="majorBidi"/>
          <w:sz w:val="21"/>
          <w:szCs w:val="21"/>
        </w:rPr>
        <w:t>W</w:t>
      </w:r>
      <w:r w:rsidRPr="004E68C8">
        <w:rPr>
          <w:rFonts w:asciiTheme="majorBidi" w:hAnsiTheme="majorBidi" w:cstheme="majorBidi"/>
          <w:sz w:val="21"/>
          <w:szCs w:val="21"/>
        </w:rPr>
        <w:t xml:space="preserve">ritten </w:t>
      </w:r>
      <w:r>
        <w:rPr>
          <w:rFonts w:asciiTheme="majorBidi" w:hAnsiTheme="majorBidi" w:cstheme="majorBidi"/>
          <w:sz w:val="21"/>
          <w:szCs w:val="21"/>
        </w:rPr>
        <w:t xml:space="preserve">and oral drills and </w:t>
      </w:r>
      <w:r w:rsidRPr="004E68C8">
        <w:rPr>
          <w:rFonts w:asciiTheme="majorBidi" w:hAnsiTheme="majorBidi" w:cstheme="majorBidi"/>
          <w:sz w:val="21"/>
          <w:szCs w:val="21"/>
        </w:rPr>
        <w:t>exercise</w:t>
      </w:r>
      <w:r>
        <w:rPr>
          <w:rFonts w:asciiTheme="majorBidi" w:hAnsiTheme="majorBidi" w:cstheme="majorBidi"/>
          <w:sz w:val="21"/>
          <w:szCs w:val="21"/>
        </w:rPr>
        <w:t>s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  <w:r w:rsidRPr="004E68C8">
        <w:rPr>
          <w:rFonts w:asciiTheme="majorBidi" w:hAnsiTheme="majorBidi" w:cstheme="majorBidi"/>
          <w:sz w:val="21"/>
          <w:szCs w:val="21"/>
        </w:rPr>
        <w:t xml:space="preserve"> 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4.4-</w:t>
      </w:r>
      <w:r>
        <w:rPr>
          <w:rFonts w:asciiTheme="majorBidi" w:hAnsiTheme="majorBidi" w:cstheme="majorBidi"/>
          <w:sz w:val="21"/>
          <w:szCs w:val="21"/>
        </w:rPr>
        <w:t>Debate panels.</w:t>
      </w:r>
      <w:proofErr w:type="gramEnd"/>
    </w:p>
    <w:p w:rsidR="00390BCE" w:rsidRPr="004E68C8" w:rsidRDefault="00390BCE" w:rsidP="00390BCE">
      <w:pPr>
        <w:autoSpaceDE w:val="0"/>
        <w:autoSpaceDN w:val="0"/>
        <w:adjustRightInd w:val="0"/>
        <w:spacing w:after="0" w:line="192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4.5-</w:t>
      </w:r>
      <w:r>
        <w:rPr>
          <w:rFonts w:asciiTheme="majorBidi" w:hAnsiTheme="majorBidi" w:cstheme="majorBidi"/>
          <w:sz w:val="21"/>
          <w:szCs w:val="21"/>
        </w:rPr>
        <w:t xml:space="preserve"> Open discussions.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4E68C8">
        <w:rPr>
          <w:rFonts w:asciiTheme="majorBidi" w:hAnsiTheme="majorBidi" w:cstheme="majorBidi"/>
          <w:b/>
          <w:bCs/>
        </w:rPr>
        <w:t>5- Student assessment methods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E68C8">
        <w:rPr>
          <w:rFonts w:asciiTheme="majorBidi" w:hAnsiTheme="majorBidi" w:cstheme="majorBidi"/>
        </w:rPr>
        <w:t>5.1</w:t>
      </w:r>
      <w:proofErr w:type="gramStart"/>
      <w:r w:rsidRPr="004E68C8">
        <w:rPr>
          <w:rFonts w:asciiTheme="majorBidi" w:hAnsiTheme="majorBidi" w:cstheme="majorBidi"/>
        </w:rPr>
        <w:t>:Semester</w:t>
      </w:r>
      <w:proofErr w:type="gramEnd"/>
      <w:r w:rsidRPr="004E68C8">
        <w:rPr>
          <w:rFonts w:asciiTheme="majorBidi" w:hAnsiTheme="majorBidi" w:cstheme="majorBidi"/>
        </w:rPr>
        <w:t xml:space="preserve"> performance </w:t>
      </w:r>
      <w:r w:rsidRPr="004E68C8">
        <w:rPr>
          <w:rFonts w:asciiTheme="majorBidi" w:hAnsiTheme="majorBidi" w:cstheme="majorBidi"/>
        </w:rPr>
        <w:tab/>
        <w:t xml:space="preserve">            </w:t>
      </w:r>
      <w:r w:rsidRPr="004E68C8">
        <w:rPr>
          <w:rFonts w:asciiTheme="majorBidi" w:hAnsiTheme="majorBidi" w:cstheme="majorBidi"/>
          <w:sz w:val="20"/>
          <w:szCs w:val="20"/>
        </w:rPr>
        <w:t>to assess, understanding and skills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4E68C8">
        <w:rPr>
          <w:rFonts w:asciiTheme="majorBidi" w:hAnsiTheme="majorBidi" w:cstheme="majorBidi"/>
        </w:rPr>
        <w:t>5.2 :</w:t>
      </w:r>
      <w:proofErr w:type="gramEnd"/>
      <w:r w:rsidRPr="004E68C8">
        <w:rPr>
          <w:rFonts w:asciiTheme="majorBidi" w:hAnsiTheme="majorBidi" w:cstheme="majorBidi"/>
        </w:rPr>
        <w:t>Follow-up exams</w:t>
      </w:r>
      <w:r w:rsidRPr="004E68C8">
        <w:rPr>
          <w:rFonts w:asciiTheme="majorBidi" w:hAnsiTheme="majorBidi" w:cstheme="majorBidi"/>
        </w:rPr>
        <w:tab/>
        <w:t xml:space="preserve"> to assess knowledge and practical skills 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E68C8">
        <w:rPr>
          <w:rFonts w:asciiTheme="majorBidi" w:hAnsiTheme="majorBidi" w:cstheme="majorBidi"/>
        </w:rPr>
        <w:t>5.3: Oral exam</w:t>
      </w:r>
      <w:r w:rsidRPr="004E68C8">
        <w:rPr>
          <w:rFonts w:asciiTheme="majorBidi" w:hAnsiTheme="majorBidi" w:cstheme="majorBidi"/>
        </w:rPr>
        <w:tab/>
        <w:t xml:space="preserve">                         </w:t>
      </w:r>
      <w:r w:rsidRPr="004E68C8">
        <w:rPr>
          <w:rFonts w:asciiTheme="majorBidi" w:hAnsiTheme="majorBidi" w:cstheme="majorBidi"/>
          <w:sz w:val="20"/>
          <w:szCs w:val="20"/>
        </w:rPr>
        <w:t xml:space="preserve">to assess </w:t>
      </w:r>
      <w:proofErr w:type="gramStart"/>
      <w:r w:rsidRPr="004E68C8">
        <w:rPr>
          <w:rFonts w:asciiTheme="majorBidi" w:hAnsiTheme="majorBidi" w:cstheme="majorBidi"/>
          <w:sz w:val="20"/>
          <w:szCs w:val="20"/>
        </w:rPr>
        <w:t>intellectual ,</w:t>
      </w:r>
      <w:proofErr w:type="gramEnd"/>
      <w:r w:rsidRPr="004E68C8">
        <w:rPr>
          <w:rFonts w:asciiTheme="majorBidi" w:hAnsiTheme="majorBidi" w:cstheme="majorBidi"/>
          <w:sz w:val="20"/>
          <w:szCs w:val="20"/>
        </w:rPr>
        <w:t xml:space="preserve"> and transferable skills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4E68C8">
        <w:rPr>
          <w:rFonts w:asciiTheme="majorBidi" w:hAnsiTheme="majorBidi" w:cstheme="majorBidi"/>
        </w:rPr>
        <w:t>5.4 Final exam</w:t>
      </w:r>
      <w:r w:rsidRPr="004E68C8">
        <w:rPr>
          <w:rFonts w:asciiTheme="majorBidi" w:hAnsiTheme="majorBidi" w:cstheme="majorBidi"/>
        </w:rPr>
        <w:tab/>
      </w:r>
      <w:r w:rsidRPr="004E68C8">
        <w:rPr>
          <w:rFonts w:asciiTheme="majorBidi" w:hAnsiTheme="majorBidi" w:cstheme="majorBidi"/>
        </w:rPr>
        <w:tab/>
      </w:r>
      <w:r w:rsidRPr="004E68C8">
        <w:rPr>
          <w:rFonts w:asciiTheme="majorBidi" w:hAnsiTheme="majorBidi" w:cstheme="majorBidi"/>
          <w:sz w:val="20"/>
          <w:szCs w:val="20"/>
        </w:rPr>
        <w:t xml:space="preserve">         to assess comprehension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Assessment schedule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Assessment 1 Semester performance exams</w:t>
      </w:r>
      <w:r>
        <w:rPr>
          <w:rFonts w:asciiTheme="majorBidi" w:hAnsiTheme="majorBidi" w:cstheme="majorBidi"/>
          <w:sz w:val="21"/>
          <w:szCs w:val="21"/>
        </w:rPr>
        <w:t xml:space="preserve">    </w:t>
      </w:r>
      <w:r w:rsidRPr="004E68C8">
        <w:rPr>
          <w:rFonts w:asciiTheme="majorBidi" w:hAnsiTheme="majorBidi" w:cstheme="majorBidi"/>
          <w:sz w:val="21"/>
          <w:szCs w:val="21"/>
        </w:rPr>
        <w:t>Weeks 8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 xml:space="preserve"> and 12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 xml:space="preserve">Assessment 2 </w:t>
      </w:r>
      <w:r>
        <w:rPr>
          <w:rFonts w:asciiTheme="majorBidi" w:hAnsiTheme="majorBidi" w:cstheme="majorBidi"/>
          <w:sz w:val="21"/>
          <w:szCs w:val="21"/>
        </w:rPr>
        <w:t xml:space="preserve">Performance </w:t>
      </w:r>
      <w:r w:rsidRPr="004E68C8">
        <w:rPr>
          <w:rFonts w:asciiTheme="majorBidi" w:hAnsiTheme="majorBidi" w:cstheme="majorBidi"/>
          <w:sz w:val="21"/>
          <w:szCs w:val="21"/>
        </w:rPr>
        <w:t>exam</w:t>
      </w:r>
      <w:r w:rsidRPr="004E68C8">
        <w:rPr>
          <w:rFonts w:asciiTheme="majorBidi" w:hAnsiTheme="majorBidi" w:cstheme="majorBidi"/>
          <w:sz w:val="21"/>
          <w:szCs w:val="21"/>
        </w:rPr>
        <w:tab/>
        <w:t xml:space="preserve">                        Week 15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lastRenderedPageBreak/>
        <w:t>Assessment 3 Oral exam</w:t>
      </w:r>
      <w:r w:rsidRPr="004E68C8">
        <w:rPr>
          <w:rFonts w:asciiTheme="majorBidi" w:hAnsiTheme="majorBidi" w:cstheme="majorBidi"/>
          <w:sz w:val="21"/>
          <w:szCs w:val="21"/>
        </w:rPr>
        <w:tab/>
      </w:r>
      <w:r w:rsidRPr="004E68C8">
        <w:rPr>
          <w:rFonts w:asciiTheme="majorBidi" w:hAnsiTheme="majorBidi" w:cstheme="majorBidi"/>
          <w:sz w:val="21"/>
          <w:szCs w:val="21"/>
        </w:rPr>
        <w:tab/>
        <w:t xml:space="preserve">                        Week 15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 w:rsidRPr="004E68C8">
        <w:rPr>
          <w:rFonts w:asciiTheme="majorBidi" w:hAnsiTheme="majorBidi" w:cstheme="majorBidi"/>
          <w:sz w:val="21"/>
          <w:szCs w:val="21"/>
        </w:rPr>
        <w:t>Assessment 4 Semester Terminal                          Week 16</w:t>
      </w:r>
      <w:r w:rsidRPr="004E68C8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 w:rsidRPr="004E68C8">
        <w:rPr>
          <w:rFonts w:asciiTheme="majorBidi" w:hAnsiTheme="majorBidi" w:cstheme="majorBidi"/>
          <w:sz w:val="21"/>
          <w:szCs w:val="21"/>
        </w:rPr>
        <w:t>.</w:t>
      </w:r>
      <w:proofErr w:type="gramEnd"/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Weighing of assessments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Periodical f</w:t>
      </w:r>
      <w:r w:rsidRPr="004E68C8">
        <w:rPr>
          <w:rFonts w:asciiTheme="majorBidi" w:hAnsiTheme="majorBidi" w:cstheme="majorBidi"/>
          <w:sz w:val="21"/>
          <w:szCs w:val="21"/>
        </w:rPr>
        <w:t>ollow-up</w:t>
      </w:r>
      <w:r>
        <w:rPr>
          <w:rFonts w:asciiTheme="majorBidi" w:hAnsiTheme="majorBidi" w:cstheme="majorBidi"/>
          <w:sz w:val="21"/>
          <w:szCs w:val="21"/>
        </w:rPr>
        <w:t xml:space="preserve">                           </w:t>
      </w:r>
      <w:proofErr w:type="gramStart"/>
      <w:r>
        <w:rPr>
          <w:rFonts w:asciiTheme="majorBidi" w:hAnsiTheme="majorBidi" w:cstheme="majorBidi"/>
          <w:sz w:val="21"/>
          <w:szCs w:val="21"/>
        </w:rPr>
        <w:t>10  %</w:t>
      </w:r>
      <w:proofErr w:type="gramEnd"/>
      <w:r>
        <w:rPr>
          <w:rFonts w:asciiTheme="majorBidi" w:hAnsiTheme="majorBidi" w:cstheme="majorBidi"/>
          <w:sz w:val="21"/>
          <w:szCs w:val="21"/>
        </w:rPr>
        <w:t xml:space="preserve"> 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proofErr w:type="gramStart"/>
      <w:r>
        <w:rPr>
          <w:rFonts w:asciiTheme="majorBidi" w:hAnsiTheme="majorBidi" w:cstheme="majorBidi"/>
          <w:sz w:val="21"/>
          <w:szCs w:val="21"/>
        </w:rPr>
        <w:t>Practical</w:t>
      </w:r>
      <w:r w:rsidRPr="004E68C8">
        <w:rPr>
          <w:rFonts w:asciiTheme="majorBidi" w:hAnsiTheme="majorBidi" w:cstheme="majorBidi"/>
          <w:sz w:val="21"/>
          <w:szCs w:val="21"/>
        </w:rPr>
        <w:t xml:space="preserve"> exam.</w:t>
      </w:r>
      <w:proofErr w:type="gramEnd"/>
      <w:r w:rsidRPr="004E68C8">
        <w:rPr>
          <w:rFonts w:asciiTheme="majorBidi" w:hAnsiTheme="majorBidi" w:cstheme="majorBidi"/>
          <w:sz w:val="21"/>
          <w:szCs w:val="21"/>
        </w:rPr>
        <w:t xml:space="preserve">                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Pr="004E68C8">
        <w:rPr>
          <w:rFonts w:asciiTheme="majorBidi" w:hAnsiTheme="majorBidi" w:cstheme="majorBidi"/>
          <w:sz w:val="21"/>
          <w:szCs w:val="21"/>
        </w:rPr>
        <w:t xml:space="preserve">         </w:t>
      </w:r>
      <w:r>
        <w:rPr>
          <w:rFonts w:asciiTheme="majorBidi" w:hAnsiTheme="majorBidi" w:cstheme="majorBidi"/>
          <w:sz w:val="21"/>
          <w:szCs w:val="21"/>
        </w:rPr>
        <w:t xml:space="preserve">      </w:t>
      </w:r>
      <w:r w:rsidRPr="004E68C8">
        <w:rPr>
          <w:rFonts w:asciiTheme="majorBidi" w:hAnsiTheme="majorBidi" w:cstheme="majorBidi"/>
          <w:sz w:val="21"/>
          <w:szCs w:val="21"/>
        </w:rPr>
        <w:t xml:space="preserve">   10 %</w:t>
      </w:r>
      <w:r>
        <w:rPr>
          <w:rFonts w:asciiTheme="majorBidi" w:hAnsiTheme="majorBidi" w:cstheme="majorBidi"/>
          <w:sz w:val="21"/>
          <w:szCs w:val="21"/>
        </w:rPr>
        <w:t xml:space="preserve">  </w:t>
      </w:r>
    </w:p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Oral   Exam                                         10%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 xml:space="preserve">Semester Terminal Exam      </w:t>
      </w:r>
      <w:r>
        <w:rPr>
          <w:rFonts w:asciiTheme="majorBidi" w:hAnsiTheme="majorBidi" w:cstheme="majorBidi"/>
          <w:sz w:val="21"/>
          <w:szCs w:val="21"/>
        </w:rPr>
        <w:t xml:space="preserve">         </w:t>
      </w:r>
      <w:r w:rsidRPr="004E68C8">
        <w:rPr>
          <w:rFonts w:asciiTheme="majorBidi" w:hAnsiTheme="majorBidi" w:cstheme="majorBidi"/>
          <w:sz w:val="21"/>
          <w:szCs w:val="21"/>
        </w:rPr>
        <w:t xml:space="preserve">    </w:t>
      </w:r>
      <w:r>
        <w:rPr>
          <w:rFonts w:asciiTheme="majorBidi" w:hAnsiTheme="majorBidi" w:cstheme="majorBidi"/>
          <w:sz w:val="21"/>
          <w:szCs w:val="21"/>
        </w:rPr>
        <w:t>7</w:t>
      </w:r>
      <w:r w:rsidRPr="004E68C8">
        <w:rPr>
          <w:rFonts w:asciiTheme="majorBidi" w:hAnsiTheme="majorBidi" w:cstheme="majorBidi"/>
          <w:sz w:val="21"/>
          <w:szCs w:val="21"/>
        </w:rPr>
        <w:t>0%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 xml:space="preserve">Total                                         </w:t>
      </w:r>
      <w:r>
        <w:rPr>
          <w:rFonts w:asciiTheme="majorBidi" w:hAnsiTheme="majorBidi" w:cstheme="majorBidi"/>
          <w:sz w:val="21"/>
          <w:szCs w:val="21"/>
        </w:rPr>
        <w:t xml:space="preserve">           </w:t>
      </w:r>
      <w:r w:rsidRPr="004E68C8">
        <w:rPr>
          <w:rFonts w:asciiTheme="majorBidi" w:hAnsiTheme="majorBidi" w:cstheme="majorBidi"/>
          <w:sz w:val="21"/>
          <w:szCs w:val="21"/>
        </w:rPr>
        <w:t>100%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  <w:u w:val="single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  <w:u w:val="single"/>
        </w:rPr>
        <w:t xml:space="preserve">Any formative-only assessment(s) to be described 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6- List of references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4E68C8">
        <w:rPr>
          <w:rFonts w:asciiTheme="majorBidi" w:hAnsiTheme="majorBidi" w:cstheme="majorBidi"/>
          <w:sz w:val="21"/>
          <w:szCs w:val="21"/>
        </w:rPr>
        <w:t>6.1- Course notes: Specialized notes and paragraphs by teaching staff.</w:t>
      </w:r>
    </w:p>
    <w:p w:rsidR="00390BCE" w:rsidRPr="00E41D89" w:rsidRDefault="00390BCE" w:rsidP="00390BCE">
      <w:pPr>
        <w:spacing w:after="0" w:line="240" w:lineRule="auto"/>
        <w:jc w:val="lowKashida"/>
        <w:rPr>
          <w:rFonts w:ascii="Times New Roman" w:hAnsi="Times New Roman" w:cs="Times New Roman"/>
          <w:spacing w:val="-4"/>
          <w:sz w:val="18"/>
          <w:szCs w:val="18"/>
          <w:lang w:bidi="ar-EG"/>
        </w:rPr>
      </w:pPr>
      <w:r w:rsidRPr="004E68C8">
        <w:rPr>
          <w:rFonts w:asciiTheme="majorBidi" w:hAnsiTheme="majorBidi" w:cstheme="majorBidi"/>
          <w:sz w:val="21"/>
          <w:szCs w:val="21"/>
        </w:rPr>
        <w:t>6.2-Text books:</w:t>
      </w:r>
      <w:r w:rsidRPr="004E68C8">
        <w:rPr>
          <w:rFonts w:asciiTheme="majorBidi" w:hAnsiTheme="majorBidi" w:cstheme="majorBidi"/>
          <w:b/>
          <w:bCs/>
          <w:spacing w:val="-4"/>
          <w:sz w:val="21"/>
          <w:szCs w:val="21"/>
          <w:lang w:bidi="ar-EG"/>
        </w:rPr>
        <w:t xml:space="preserve"> </w:t>
      </w:r>
      <w:r w:rsidRPr="00E41D89">
        <w:rPr>
          <w:rFonts w:ascii="Times New Roman" w:hAnsi="Times New Roman" w:cs="Times New Roman"/>
          <w:b/>
          <w:bCs/>
          <w:spacing w:val="-4"/>
          <w:sz w:val="18"/>
          <w:szCs w:val="18"/>
          <w:lang w:bidi="ar-EG"/>
        </w:rPr>
        <w:t>Bauer, L. 2007.</w:t>
      </w:r>
      <w:r w:rsidRPr="00E41D89">
        <w:rPr>
          <w:rFonts w:ascii="Times New Roman" w:hAnsi="Times New Roman" w:cs="Times New Roman"/>
          <w:spacing w:val="-4"/>
          <w:sz w:val="18"/>
          <w:szCs w:val="18"/>
          <w:lang w:bidi="ar-EG"/>
        </w:rPr>
        <w:t xml:space="preserve"> The linguistics student`s handbook. Edinburgh University Press, UK.</w:t>
      </w:r>
    </w:p>
    <w:p w:rsidR="00390BCE" w:rsidRPr="00E41D89" w:rsidRDefault="00390BCE" w:rsidP="00390BCE">
      <w:pPr>
        <w:pStyle w:val="Heading1"/>
        <w:spacing w:before="0" w:after="0"/>
        <w:jc w:val="lowKashida"/>
        <w:rPr>
          <w:rFonts w:ascii="Times New Roman" w:hAnsi="Times New Roman"/>
          <w:sz w:val="18"/>
          <w:szCs w:val="18"/>
        </w:rPr>
      </w:pP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 xml:space="preserve">Swan, M. 2005. </w:t>
      </w:r>
      <w:proofErr w:type="gramStart"/>
      <w:r w:rsidRPr="00E41D89"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  <w:t>Practical English usage</w:t>
      </w: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>.</w:t>
      </w:r>
      <w:proofErr w:type="gramEnd"/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 xml:space="preserve"> </w:t>
      </w:r>
      <w:r w:rsidRPr="00E41D89">
        <w:rPr>
          <w:rFonts w:ascii="Times New Roman" w:hAnsi="Times New Roman"/>
          <w:b w:val="0"/>
          <w:bCs w:val="0"/>
          <w:sz w:val="18"/>
          <w:szCs w:val="18"/>
        </w:rPr>
        <w:t xml:space="preserve">New International </w:t>
      </w:r>
    </w:p>
    <w:p w:rsidR="00390BCE" w:rsidRDefault="00390BCE" w:rsidP="00390BCE">
      <w:pPr>
        <w:pStyle w:val="Heading1"/>
        <w:spacing w:before="0" w:after="0"/>
        <w:jc w:val="lowKashida"/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</w:pPr>
      <w:r w:rsidRPr="00E41D89">
        <w:rPr>
          <w:rFonts w:ascii="Times New Roman" w:hAnsi="Times New Roman"/>
          <w:b w:val="0"/>
          <w:bCs w:val="0"/>
          <w:spacing w:val="-4"/>
          <w:sz w:val="18"/>
          <w:szCs w:val="18"/>
          <w:lang w:bidi="ar-EG"/>
        </w:rPr>
        <w:t>Oxford University Press, UK</w:t>
      </w:r>
      <w:r w:rsidRPr="00E41D89">
        <w:rPr>
          <w:rFonts w:ascii="Times New Roman" w:hAnsi="Times New Roman"/>
          <w:spacing w:val="-4"/>
          <w:sz w:val="18"/>
          <w:szCs w:val="18"/>
          <w:lang w:bidi="ar-EG"/>
        </w:rPr>
        <w:t>.</w:t>
      </w:r>
      <w:r w:rsidRPr="00E41D89">
        <w:rPr>
          <w:rFonts w:ascii="Times New Roman" w:hAnsi="Times New Roman"/>
          <w:sz w:val="18"/>
          <w:szCs w:val="18"/>
        </w:rPr>
        <w:t xml:space="preserve"> </w:t>
      </w:r>
    </w:p>
    <w:p w:rsidR="00390BCE" w:rsidRDefault="00390BCE" w:rsidP="00390BCE">
      <w:pPr>
        <w:spacing w:after="0" w:line="240" w:lineRule="auto"/>
        <w:jc w:val="lowKashida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tbl>
      <w:tblPr>
        <w:tblpPr w:leftFromText="180" w:rightFromText="180" w:vertAnchor="page" w:horzAnchor="margin" w:tblpY="3865"/>
        <w:bidiVisual/>
        <w:tblW w:w="9214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43"/>
        <w:gridCol w:w="460"/>
        <w:gridCol w:w="464"/>
        <w:gridCol w:w="450"/>
        <w:gridCol w:w="447"/>
        <w:gridCol w:w="447"/>
        <w:gridCol w:w="447"/>
        <w:gridCol w:w="10"/>
        <w:gridCol w:w="483"/>
        <w:gridCol w:w="494"/>
        <w:gridCol w:w="483"/>
        <w:gridCol w:w="450"/>
        <w:gridCol w:w="450"/>
        <w:gridCol w:w="433"/>
        <w:gridCol w:w="450"/>
        <w:gridCol w:w="1918"/>
      </w:tblGrid>
      <w:tr w:rsidR="00390BCE" w:rsidTr="00CA5BC2">
        <w:trPr>
          <w:trHeight w:val="377"/>
        </w:trPr>
        <w:tc>
          <w:tcPr>
            <w:tcW w:w="9214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CE" w:rsidRPr="00DF7634" w:rsidRDefault="00390BCE" w:rsidP="00CA5BC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1"/>
                <w:szCs w:val="21"/>
                <w:rtl/>
                <w:lang w:bidi="ar-EG"/>
              </w:rPr>
            </w:pPr>
            <w:r w:rsidRPr="00DF7634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Matrix   for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>English 2  c</w:t>
            </w:r>
            <w:r w:rsidRPr="00DF7634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EG"/>
              </w:rPr>
              <w:t xml:space="preserve">ourse   </w:t>
            </w:r>
          </w:p>
        </w:tc>
      </w:tr>
      <w:tr w:rsidR="00390BCE" w:rsidTr="00CA5BC2">
        <w:trPr>
          <w:trHeight w:val="241"/>
        </w:trPr>
        <w:tc>
          <w:tcPr>
            <w:tcW w:w="22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BCE" w:rsidRPr="00920818" w:rsidRDefault="00390BCE" w:rsidP="00CA5BC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lastRenderedPageBreak/>
              <w:t>d</w:t>
            </w:r>
          </w:p>
        </w:tc>
        <w:tc>
          <w:tcPr>
            <w:tcW w:w="180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90BCE" w:rsidRPr="00920818" w:rsidRDefault="00390BCE" w:rsidP="00CA5BC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</w:t>
            </w:r>
          </w:p>
        </w:tc>
        <w:tc>
          <w:tcPr>
            <w:tcW w:w="14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90BCE" w:rsidRPr="00920818" w:rsidRDefault="00390BCE" w:rsidP="00CA5BC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</w:t>
            </w:r>
          </w:p>
        </w:tc>
        <w:tc>
          <w:tcPr>
            <w:tcW w:w="178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90BCE" w:rsidRPr="00920818" w:rsidRDefault="00390BCE" w:rsidP="00CA5BC2">
            <w:pPr>
              <w:spacing w:line="240" w:lineRule="auto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Lecture</w:t>
            </w:r>
          </w:p>
        </w:tc>
      </w:tr>
      <w:tr w:rsidR="00390BCE" w:rsidTr="00CA5BC2">
        <w:trPr>
          <w:trHeight w:val="272"/>
        </w:trPr>
        <w:tc>
          <w:tcPr>
            <w:tcW w:w="88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D4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:rsidR="00390BCE" w:rsidRPr="001462DF" w:rsidRDefault="00390BCE" w:rsidP="00CA5BC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d2</w:t>
            </w:r>
          </w:p>
        </w:tc>
        <w:tc>
          <w:tcPr>
            <w:tcW w:w="46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c4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c3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c2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90BCE" w:rsidRPr="001462DF" w:rsidRDefault="00390BCE" w:rsidP="00CA5BC2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c1</w:t>
            </w:r>
          </w:p>
        </w:tc>
        <w:tc>
          <w:tcPr>
            <w:tcW w:w="49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b3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b2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a2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a1</w:t>
            </w:r>
          </w:p>
        </w:tc>
        <w:tc>
          <w:tcPr>
            <w:tcW w:w="19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BCE" w:rsidRPr="00920818" w:rsidRDefault="00390BCE" w:rsidP="00CA5BC2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tcBorders>
              <w:top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BA0A74" w:rsidRDefault="00FB015D" w:rsidP="00CA5BC2">
            <w:pPr>
              <w:spacing w:after="0" w:line="240" w:lineRule="auto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Language </w:t>
            </w:r>
            <w:proofErr w:type="gramStart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as  a</w:t>
            </w:r>
            <w:proofErr w:type="gramEnd"/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 means of communication.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60510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60510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Simplified English.</w:t>
            </w:r>
          </w:p>
        </w:tc>
      </w:tr>
      <w:tr w:rsidR="00FB015D" w:rsidTr="00CA5BC2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BA0A74" w:rsidRDefault="00FB015D" w:rsidP="00CA5BC2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Passages of some scientific aspects with drills </w:t>
            </w:r>
          </w:p>
        </w:tc>
      </w:tr>
      <w:tr w:rsidR="00FB015D" w:rsidTr="00CA5BC2">
        <w:trPr>
          <w:trHeight w:val="315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BA0A74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Informative statements.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D0C7A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Countable and uncountable nouns.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D0C7A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Difficulties for English language users.</w:t>
            </w:r>
          </w:p>
        </w:tc>
      </w:tr>
      <w:tr w:rsidR="00FB015D" w:rsidTr="00CA5BC2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D0C7A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D0C7A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Comparative (qualified and unqualified) statements.</w:t>
            </w:r>
          </w:p>
        </w:tc>
      </w:tr>
      <w:tr w:rsidR="00FB015D" w:rsidTr="00CA5BC2">
        <w:trPr>
          <w:trHeight w:val="315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D0C7A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4519AA">
              <w:rPr>
                <w:rFonts w:ascii="Times New Roman" w:hAnsi="Times New Roman" w:cs="Times New Roman"/>
                <w:spacing w:val="-4"/>
                <w:sz w:val="20"/>
                <w:szCs w:val="20"/>
                <w:lang w:bidi="ar-EG"/>
              </w:rPr>
              <w:t xml:space="preserve">British UK and American USA  English  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BA0A74" w:rsidRDefault="00FB015D" w:rsidP="00CA5BC2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V</w:t>
            </w:r>
            <w:r w:rsidRPr="00DC4746">
              <w:rPr>
                <w:rFonts w:ascii="Times New Roman" w:hAnsi="Times New Roman" w:cs="Times New Roman"/>
                <w:spacing w:val="-4"/>
                <w:sz w:val="18"/>
                <w:szCs w:val="18"/>
                <w:lang w:bidi="ar-EG"/>
              </w:rPr>
              <w:t>ocabulary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and grammar &amp;idiom of English language. 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A92465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FD0C7A" w:rsidRDefault="00FB015D" w:rsidP="00CA5BC2">
            <w:pPr>
              <w:spacing w:after="0"/>
              <w:jc w:val="both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FB015D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Determinate indeterminate expressions.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A92465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A92465" w:rsidP="00CA5BC2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after="0"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BA0A74" w:rsidRDefault="00FB015D" w:rsidP="00CA5BC2">
            <w:pPr>
              <w:spacing w:after="0" w:line="240" w:lineRule="auto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EG"/>
              </w:rPr>
              <w:t xml:space="preserve">Passive and active speech  </w:t>
            </w:r>
          </w:p>
        </w:tc>
      </w:tr>
      <w:tr w:rsidR="00FB015D" w:rsidTr="00CA5BC2">
        <w:trPr>
          <w:trHeight w:val="187"/>
        </w:trPr>
        <w:tc>
          <w:tcPr>
            <w:tcW w:w="8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BA0A74" w:rsidRDefault="00FB015D" w:rsidP="00CA5BC2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Some rules on verb conjugation.</w:t>
            </w:r>
          </w:p>
        </w:tc>
      </w:tr>
      <w:tr w:rsidR="00FB015D" w:rsidTr="00CA5BC2">
        <w:trPr>
          <w:trHeight w:val="198"/>
        </w:trPr>
        <w:tc>
          <w:tcPr>
            <w:tcW w:w="885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B015D" w:rsidRPr="003D4E49" w:rsidRDefault="00A92465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A92465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tcBorders>
              <w:bottom w:val="single" w:sz="2" w:space="0" w:color="auto"/>
            </w:tcBorders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A92465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A92465">
              <w:rPr>
                <w:rFonts w:asciiTheme="majorBidi" w:eastAsia="Calibri" w:hAnsiTheme="majorBidi" w:cstheme="majorBidi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FB015D" w:rsidRPr="003D4E49" w:rsidRDefault="00A92465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9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BA0A74" w:rsidRDefault="00FB015D" w:rsidP="00CA5BC2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More </w:t>
            </w: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rules on verb conjugation.</w:t>
            </w:r>
          </w:p>
        </w:tc>
      </w:tr>
      <w:tr w:rsidR="00FB015D" w:rsidTr="00CA5BC2">
        <w:trPr>
          <w:trHeight w:val="210"/>
        </w:trPr>
        <w:tc>
          <w:tcPr>
            <w:tcW w:w="8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3D4E49" w:rsidRDefault="00FB015D" w:rsidP="00CA5BC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tcBorders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015D" w:rsidRPr="003D4E49" w:rsidRDefault="00FB015D" w:rsidP="00CA5BC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9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15D" w:rsidRPr="00BA0A74" w:rsidRDefault="00FB015D" w:rsidP="00CA5BC2">
            <w:pPr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General revision of the course.</w:t>
            </w:r>
          </w:p>
        </w:tc>
      </w:tr>
    </w:tbl>
    <w:p w:rsidR="00390BCE" w:rsidRDefault="00390BCE" w:rsidP="00390BC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Theme="majorBidi" w:hAnsiTheme="majorBidi" w:cstheme="majorBidi"/>
          <w:sz w:val="21"/>
          <w:szCs w:val="21"/>
        </w:rPr>
        <w:t>W</w:t>
      </w:r>
      <w:r w:rsidRPr="004E68C8">
        <w:rPr>
          <w:rFonts w:asciiTheme="majorBidi" w:hAnsiTheme="majorBidi" w:cstheme="majorBidi"/>
          <w:sz w:val="21"/>
          <w:szCs w:val="21"/>
        </w:rPr>
        <w:t xml:space="preserve">hite board and board ink-marker, data-show, </w:t>
      </w:r>
      <w:r>
        <w:rPr>
          <w:rFonts w:asciiTheme="majorBidi" w:hAnsiTheme="majorBidi" w:cstheme="majorBidi"/>
          <w:sz w:val="21"/>
          <w:szCs w:val="21"/>
        </w:rPr>
        <w:t>group debates</w:t>
      </w:r>
    </w:p>
    <w:p w:rsidR="00390BCE" w:rsidRDefault="00390BCE" w:rsidP="0034275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  <w:r w:rsidRPr="004E68C8">
        <w:rPr>
          <w:rFonts w:asciiTheme="majorBidi" w:hAnsiTheme="majorBidi" w:cstheme="majorBidi"/>
          <w:b/>
          <w:bCs/>
          <w:sz w:val="21"/>
          <w:szCs w:val="21"/>
        </w:rPr>
        <w:t>Course coordinator:</w:t>
      </w:r>
      <w:r w:rsidRPr="004E68C8">
        <w:rPr>
          <w:rFonts w:asciiTheme="majorBidi" w:hAnsiTheme="majorBidi" w:cstheme="majorBidi"/>
          <w:sz w:val="21"/>
          <w:szCs w:val="21"/>
        </w:rPr>
        <w:t xml:space="preserve"> </w:t>
      </w:r>
      <w:r w:rsidR="00342751">
        <w:rPr>
          <w:rFonts w:asciiTheme="majorBidi" w:hAnsiTheme="majorBidi" w:cstheme="majorBidi"/>
          <w:sz w:val="21"/>
          <w:szCs w:val="21"/>
        </w:rPr>
        <w:t>Dr Marian ……….</w:t>
      </w:r>
      <w:r w:rsidRPr="004E68C8">
        <w:rPr>
          <w:rFonts w:asciiTheme="majorBidi" w:hAnsiTheme="majorBidi" w:cstheme="majorBidi"/>
          <w:sz w:val="21"/>
          <w:szCs w:val="21"/>
        </w:rPr>
        <w:t>.</w:t>
      </w:r>
    </w:p>
    <w:p w:rsidR="00390BCE" w:rsidRPr="004E68C8" w:rsidRDefault="00390BCE" w:rsidP="00390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Dean of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Faculty :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 The course is common and joint.</w:t>
      </w:r>
    </w:p>
    <w:p w:rsidR="00390BCE" w:rsidRPr="00613F5F" w:rsidRDefault="00390BCE" w:rsidP="00390BCE">
      <w:pPr>
        <w:spacing w:after="0"/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</w:pPr>
      <w:r w:rsidRPr="00613F5F"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  <w:t>6.1.1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  <w:t xml:space="preserve"> </w:t>
      </w:r>
      <w:r w:rsidRPr="00613F5F"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  <w:t>Course Name: English 1 (Code: CJ 1201).</w:t>
      </w:r>
    </w:p>
    <w:p w:rsidR="00390BCE" w:rsidRPr="00613F5F" w:rsidRDefault="00390BCE" w:rsidP="00390BCE">
      <w:pPr>
        <w:spacing w:after="0"/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</w:pPr>
      <w:r w:rsidRPr="00613F5F"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  <w:t>Prerequisite:</w:t>
      </w:r>
    </w:p>
    <w:sectPr w:rsidR="00390BCE" w:rsidRPr="00613F5F" w:rsidSect="006E6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0B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504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6E5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E52C7"/>
    <w:multiLevelType w:val="hybridMultilevel"/>
    <w:tmpl w:val="B414FDE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0F5D9B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0A36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877CD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616A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46926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76C7"/>
    <w:multiLevelType w:val="hybridMultilevel"/>
    <w:tmpl w:val="004E3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E"/>
    <w:rsid w:val="00342751"/>
    <w:rsid w:val="00390BCE"/>
    <w:rsid w:val="004519AA"/>
    <w:rsid w:val="004A1BB7"/>
    <w:rsid w:val="006E6B70"/>
    <w:rsid w:val="007F0BB3"/>
    <w:rsid w:val="00942A08"/>
    <w:rsid w:val="00A92465"/>
    <w:rsid w:val="00DC4746"/>
    <w:rsid w:val="00F60510"/>
    <w:rsid w:val="00FB015D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CE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390B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B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90BCE"/>
    <w:pPr>
      <w:bidi/>
      <w:ind w:left="720"/>
      <w:contextualSpacing/>
    </w:pPr>
    <w:rPr>
      <w:rFonts w:eastAsia="Calibri"/>
    </w:rPr>
  </w:style>
  <w:style w:type="character" w:styleId="Hyperlink">
    <w:name w:val="Hyperlink"/>
    <w:rsid w:val="00390B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CE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390B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B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90BCE"/>
    <w:pPr>
      <w:bidi/>
      <w:ind w:left="720"/>
      <w:contextualSpacing/>
    </w:pPr>
    <w:rPr>
      <w:rFonts w:eastAsia="Calibri"/>
    </w:rPr>
  </w:style>
  <w:style w:type="character" w:styleId="Hyperlink">
    <w:name w:val="Hyperlink"/>
    <w:rsid w:val="00390B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2</cp:revision>
  <cp:lastPrinted>2015-12-07T22:38:00Z</cp:lastPrinted>
  <dcterms:created xsi:type="dcterms:W3CDTF">2015-12-07T22:55:00Z</dcterms:created>
  <dcterms:modified xsi:type="dcterms:W3CDTF">2015-12-07T22:55:00Z</dcterms:modified>
</cp:coreProperties>
</file>