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1134"/>
        <w:gridCol w:w="3825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243F3F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F27597" w:rsidRPr="006172D3">
              <w:rPr>
                <w:rFonts w:ascii="Times New Roman" w:hAnsi="Times New Roman" w:cs="Arabic Transparent"/>
                <w:b/>
                <w:bCs/>
                <w:sz w:val="26"/>
                <w:szCs w:val="26"/>
                <w:rtl/>
                <w:lang w:bidi="ar-EG"/>
              </w:rPr>
              <w:t xml:space="preserve">أ ر ض </w:t>
            </w:r>
            <w:r w:rsidR="00F27597" w:rsidRPr="006172D3">
              <w:rPr>
                <w:rFonts w:ascii="Times New Roman" w:hAnsi="Times New Roman" w:cs="Arabic Transparent" w:hint="cs"/>
                <w:b/>
                <w:bCs/>
                <w:sz w:val="26"/>
                <w:szCs w:val="26"/>
                <w:rtl/>
                <w:lang w:bidi="ar-EG"/>
              </w:rPr>
              <w:t>421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43F3F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243F3F" w:rsidRPr="00243F3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كيمياء ال</w:t>
            </w:r>
            <w:r w:rsidR="0062383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بيئة في الأراضي</w:t>
            </w:r>
            <w:r w:rsidR="00243F3F" w:rsidRPr="00243F3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243F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623837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</w:t>
            </w:r>
            <w:r w:rsidR="00623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0F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3837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</w:t>
            </w:r>
            <w:r w:rsidR="00623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Pr="000F2D21">
              <w:rPr>
                <w:rFonts w:cs="Arabic Transparent" w:hint="cs"/>
                <w:b/>
                <w:bCs/>
                <w:color w:val="FF0000"/>
                <w:sz w:val="24"/>
                <w:szCs w:val="26"/>
                <w:rtl/>
              </w:rPr>
              <w:t>2  ساعة (اسبوعياً)</w:t>
            </w:r>
            <w:r w:rsidR="00620FB5" w:rsidRPr="000F2D21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 نظري + (</w:t>
            </w:r>
            <w:r w:rsidRPr="000F2D21">
              <w:rPr>
                <w:rFonts w:cs="Arabic Transparent" w:hint="cs"/>
                <w:b/>
                <w:bCs/>
                <w:color w:val="FF0000"/>
                <w:sz w:val="20"/>
                <w:rtl/>
              </w:rPr>
              <w:t>2 ساعة (اسبوعياً)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عملي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FB7ECC" w:rsidP="00663858">
            <w:pPr>
              <w:spacing w:before="120" w:after="120" w:line="44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B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0F2D21" w:rsidRPr="00FE3E88" w:rsidTr="00623837">
        <w:trPr>
          <w:cantSplit/>
          <w:trHeight w:val="1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F2D21" w:rsidRPr="00FF420B" w:rsidRDefault="000F2D21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0F2D21" w:rsidRPr="00FE3E88" w:rsidRDefault="000F2D21" w:rsidP="0062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21" w:rsidRPr="000F2D21" w:rsidRDefault="000F2D21" w:rsidP="00623837">
            <w:pPr>
              <w:tabs>
                <w:tab w:val="left" w:pos="4059"/>
              </w:tabs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تزويد الطلاب بالمعارف وكذلك فهم المهارات المتعلقة </w:t>
            </w:r>
            <w:r w:rsidR="0062383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بمنشأ الشحنة </w:t>
            </w:r>
            <w:r w:rsidR="0062383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الكهربية </w:t>
            </w:r>
            <w:r w:rsidR="0062383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بالتربة وتفاعلات</w:t>
            </w:r>
            <w:r w:rsidR="0062383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المؤثرة علي تركيز العناصر والملوثات  في التربة، والماء، وخصائص الملوثات (العناصر الثقيلة- المبيدات- الهيدروكربون)، 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التبادل الأيوني والطبقة الكهربائية المزدوجة وتطبيقاتها و الاتزان الكيميائي للايونات بمحلول التربة ورتب التفاعلات المختلفة بالتربة</w:t>
            </w: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والديناميكا الحرارية بالتربة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Pr="000C4DF3"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623837">
        <w:trPr>
          <w:cantSplit/>
          <w:trHeight w:val="24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623837">
        <w:trPr>
          <w:cantSplit/>
          <w:trHeight w:val="66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24F06" w:rsidRDefault="00E978C0" w:rsidP="00623837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4F0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1.</w:t>
            </w:r>
            <w:r w:rsidR="00F24F06" w:rsidRPr="00F24F06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يفهم </w:t>
            </w:r>
            <w:r w:rsidR="00152BBF" w:rsidRPr="00152BBF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العمليات الكيميائية التى تحكم التغيرات فى تركيزات العناصر والملوثات فى التربة والهواء والماء</w:t>
            </w:r>
          </w:p>
        </w:tc>
      </w:tr>
      <w:tr w:rsidR="00E978C0" w:rsidRPr="00FE3E88" w:rsidTr="00623837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24F06" w:rsidRDefault="00E978C0" w:rsidP="002E3313">
            <w:pPr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F24F0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2.</w:t>
            </w:r>
            <w:r w:rsidR="00F24F06" w:rsidRPr="00F24F06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62383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يفهم خصائص</w:t>
            </w:r>
            <w:r w:rsidR="002E331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، وسلوك</w:t>
            </w:r>
            <w:r w:rsidR="0062383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الملوثات الموجودة في التربة (العناصر الثقيلة- المبيدات- الهيدروكربون)</w:t>
            </w:r>
          </w:p>
        </w:tc>
      </w:tr>
      <w:tr w:rsidR="00E978C0" w:rsidRPr="00FE3E88" w:rsidTr="00623837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24F06" w:rsidRDefault="002E3313" w:rsidP="00623837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3</w:t>
            </w:r>
            <w:r w:rsidR="00E978C0" w:rsidRPr="00F24F0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.</w:t>
            </w:r>
            <w:r w:rsidR="00F24F06" w:rsidRPr="00F24F06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يفهم الطالب </w:t>
            </w:r>
            <w:r w:rsid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دور التربة كمرشحات للملوثات (الادمصاص والتبادل الأيوني) </w:t>
            </w:r>
          </w:p>
        </w:tc>
      </w:tr>
      <w:tr w:rsidR="00E978C0" w:rsidRPr="00FE3E88" w:rsidTr="00623837">
        <w:trPr>
          <w:cantSplit/>
          <w:trHeight w:val="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23837" w:rsidRDefault="00E978C0" w:rsidP="009050EE">
            <w:pPr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</w:pP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1.</w:t>
            </w:r>
            <w:r w:rsidR="008A5C9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 يت</w:t>
            </w:r>
            <w:r w:rsidR="008A5C9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ن</w:t>
            </w:r>
            <w:r w:rsidR="008A5C9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بأ </w:t>
            </w:r>
            <w:r w:rsidR="008A5C9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  <w:r w:rsidR="008A5C9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تركيز </w:t>
            </w:r>
            <w:r w:rsidR="008A5C9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ال</w:t>
            </w:r>
            <w:r w:rsid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عناصر الثقيلة</w:t>
            </w:r>
            <w:r w:rsidR="008A5C9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بالتربة</w:t>
            </w:r>
            <w:r w:rsidR="008A5C9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E978C0" w:rsidRPr="00FE3E88" w:rsidTr="00623837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23837" w:rsidRDefault="002E3313" w:rsidP="00623837">
            <w:pPr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E978C0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="008A5C97"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يحسب حركية التفاعلات</w:t>
            </w:r>
          </w:p>
        </w:tc>
      </w:tr>
      <w:tr w:rsidR="00E978C0" w:rsidRPr="00FE3E88" w:rsidTr="00623837">
        <w:trPr>
          <w:cantSplit/>
          <w:trHeight w:val="178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E978C0" w:rsidRPr="00E978C0" w:rsidRDefault="00E978C0" w:rsidP="00623837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8A5C97" w:rsidRDefault="008A5C97" w:rsidP="00623837">
            <w:pPr>
              <w:spacing w:after="0"/>
              <w:ind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0C4DF3">
              <w:rPr>
                <w:rFonts w:ascii="Simplified Arabic" w:hAnsi="Simplified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C4DF3"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يتدرب علي تقدير وا</w:t>
            </w: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مصاص و انطلاق الأيونات </w:t>
            </w: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فى 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الترية</w:t>
            </w:r>
          </w:p>
        </w:tc>
      </w:tr>
      <w:tr w:rsidR="00E978C0" w:rsidRPr="00FE3E88" w:rsidTr="00623837">
        <w:trPr>
          <w:cantSplit/>
          <w:trHeight w:val="230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23837" w:rsidRDefault="00686E05" w:rsidP="002E3313">
            <w:pPr>
              <w:spacing w:after="0"/>
              <w:ind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="00E978C0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2E3313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ي</w:t>
            </w:r>
            <w:r w:rsidR="002E331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حل المشاكل المرتبطة بالتربة والبيئة</w:t>
            </w:r>
          </w:p>
        </w:tc>
      </w:tr>
      <w:tr w:rsidR="007336C3" w:rsidRPr="00FE3E88" w:rsidTr="00623837">
        <w:trPr>
          <w:cantSplit/>
          <w:trHeight w:val="606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2E331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r w:rsidR="00F2109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141358" w:rsidRPr="00141358" w:rsidRDefault="00141358" w:rsidP="00141358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98465F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lastRenderedPageBreak/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623837" w:rsidTr="0098465F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37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2E3313" w:rsidP="006238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1-4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37" w:rsidRPr="0022197A" w:rsidRDefault="00FB7EC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37" w:rsidRPr="0022197A" w:rsidRDefault="00152BBF" w:rsidP="00152BBF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مقدمة عن العمليات الكيميائية التى تحكم التغيرات فى تركيزات العناصر والملوثات فى التربة والهواء والماء</w:t>
            </w:r>
            <w:r w:rsidR="00F2109D"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، </w:t>
            </w:r>
            <w:r w:rsidR="00F2109D"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تأثر الأراضى بالظروف البيئية المحيطة</w:t>
            </w: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C40E57" w:rsidTr="0098465F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57" w:rsidRPr="0022197A" w:rsidRDefault="0022197A" w:rsidP="0022197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FB7EC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2E3313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التلوث البيئى بالعناصر الثقيلة - سلوك وخصائص الملوثات المسببة للمخاطر على صحة الإنسان والبيئة</w:t>
            </w:r>
          </w:p>
        </w:tc>
      </w:tr>
      <w:tr w:rsidR="00C40E57" w:rsidTr="0098465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57" w:rsidRPr="0022197A" w:rsidRDefault="0022197A" w:rsidP="002E331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FB7EC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57" w:rsidRPr="0022197A" w:rsidRDefault="002E3313" w:rsidP="00F2109D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تلوث التربة بالمبيدات والهيدروكربونات</w:t>
            </w:r>
          </w:p>
        </w:tc>
      </w:tr>
      <w:tr w:rsidR="00623837" w:rsidTr="00C06B6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57469E" w:rsidP="006238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37" w:rsidRPr="0022197A" w:rsidRDefault="00623837" w:rsidP="00C06B6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37" w:rsidRPr="0022197A" w:rsidRDefault="00623837" w:rsidP="00F2109D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حركيات التفاعل</w:t>
            </w:r>
            <w:r w:rsidR="00F2109D"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2E3313" w:rsidTr="00C06B6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3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3" w:rsidRPr="0022197A" w:rsidRDefault="002E3313" w:rsidP="006238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3" w:rsidRPr="0022197A" w:rsidRDefault="002E3313" w:rsidP="00C06B6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3" w:rsidRPr="0022197A" w:rsidRDefault="002E3313" w:rsidP="00F2109D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الجزء العملي</w:t>
            </w:r>
          </w:p>
        </w:tc>
      </w:tr>
      <w:tr w:rsidR="002E3313" w:rsidTr="00C06B6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3" w:rsidRPr="0022197A" w:rsidRDefault="002E3313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3" w:rsidRPr="0022197A" w:rsidRDefault="002E3313" w:rsidP="0062383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1-14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3" w:rsidRPr="0022197A" w:rsidRDefault="002E3313" w:rsidP="00C06B6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3" w:rsidRPr="0022197A" w:rsidRDefault="002E3313" w:rsidP="002E3313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تقدير وا</w:t>
            </w: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</w:t>
            </w: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مصاص و انطلاق </w:t>
            </w: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الملوثات</w:t>
            </w: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221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فى </w:t>
            </w:r>
            <w:r w:rsidRPr="0022197A">
              <w:rPr>
                <w:rFonts w:ascii="Times New Roman" w:hAnsi="Times New Roman" w:cs="Times New Roman"/>
                <w:sz w:val="28"/>
                <w:szCs w:val="28"/>
                <w:rtl/>
              </w:rPr>
              <w:t>الترية</w:t>
            </w:r>
          </w:p>
        </w:tc>
      </w:tr>
      <w:tr w:rsidR="00623837" w:rsidTr="0098465F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5D00A7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9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623837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5D00A7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219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22197A" w:rsidRDefault="00623837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9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7336C3" w:rsidRDefault="007336C3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BF0979" w:rsidRDefault="00E978C0" w:rsidP="0018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52624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5D00A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="00152624"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5D00A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="00E978C0"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52624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64312A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 و أخرى:</w:t>
            </w:r>
            <w:r w:rsidR="0098465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حتي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العملى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64312A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CC" w:rsidRPr="007336C3" w:rsidRDefault="00FB7ECC" w:rsidP="00FB7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B7ECC" w:rsidRPr="007336C3" w:rsidRDefault="00FB7ECC" w:rsidP="00FB7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15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Default="00BF0979" w:rsidP="007336C3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بحث: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5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B7ECC" w:rsidRPr="007336C3" w:rsidRDefault="00FB7ECC" w:rsidP="00FB7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60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E978C0" w:rsidRPr="00FE3E88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100 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E978C0" w:rsidRPr="00FE3E8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0304B0" w:rsidRDefault="000304B0" w:rsidP="000304B0">
            <w:pPr>
              <w:tabs>
                <w:tab w:val="left" w:leader="dot" w:pos="4059"/>
              </w:tabs>
              <w:spacing w:after="0"/>
              <w:ind w:left="657"/>
              <w:rPr>
                <w:rFonts w:cs="Simplified Arabic"/>
              </w:rPr>
            </w:pPr>
            <w:r w:rsidRPr="00016457">
              <w:rPr>
                <w:rFonts w:ascii="Simplified Arabic" w:hAnsi="Simplified Arabic" w:cs="Simplified Arabic"/>
                <w:rtl/>
              </w:rPr>
              <w:t>محاضرات يعدها أستاذ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18544A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5D00A7" w:rsidP="007336C3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السيد الخطيب.1998. الكيمياء البيئية للأراضي. منشأة المعارف بالأسكندرية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0" w:rsidRPr="00016457" w:rsidRDefault="000304B0" w:rsidP="000304B0">
            <w:pPr>
              <w:tabs>
                <w:tab w:val="left" w:pos="4059"/>
              </w:tabs>
              <w:spacing w:after="0"/>
              <w:ind w:left="658"/>
              <w:jc w:val="right"/>
              <w:rPr>
                <w:rFonts w:ascii="Simplified Arabic" w:hAnsi="Simplified Arabic" w:cs="Simplified Arabic"/>
              </w:rPr>
            </w:pPr>
            <w:r w:rsidRPr="00016457">
              <w:rPr>
                <w:rFonts w:ascii="Simplified Arabic" w:hAnsi="Simplified Arabic" w:cs="Simplified Arabic"/>
              </w:rPr>
              <w:t xml:space="preserve">Spark, D.L.(1998): Soil physical chemistry. CRC Press, </w:t>
            </w:r>
            <w:proofErr w:type="spellStart"/>
            <w:r w:rsidRPr="00016457">
              <w:rPr>
                <w:rFonts w:ascii="Simplified Arabic" w:hAnsi="Simplified Arabic" w:cs="Simplified Arabic"/>
              </w:rPr>
              <w:t>Fbrdia</w:t>
            </w:r>
            <w:proofErr w:type="spellEnd"/>
            <w:r w:rsidRPr="00016457">
              <w:rPr>
                <w:rFonts w:ascii="Simplified Arabic" w:hAnsi="Simplified Arabic" w:cs="Simplified Arabic"/>
              </w:rPr>
              <w:t xml:space="preserve">. </w:t>
            </w:r>
            <w:smartTag w:uri="urn:schemas-microsoft-com:office:smarttags" w:element="place">
              <w:smartTag w:uri="urn:schemas-microsoft-com:office:smarttags" w:element="country-region">
                <w:r w:rsidRPr="00016457">
                  <w:rPr>
                    <w:rFonts w:ascii="Simplified Arabic" w:hAnsi="Simplified Arabic" w:cs="Simplified Arabic"/>
                  </w:rPr>
                  <w:t>USA</w:t>
                </w:r>
              </w:smartTag>
            </w:smartTag>
          </w:p>
          <w:p w:rsidR="000304B0" w:rsidRPr="000304B0" w:rsidRDefault="000304B0" w:rsidP="000304B0">
            <w:pPr>
              <w:tabs>
                <w:tab w:val="left" w:pos="4059"/>
              </w:tabs>
              <w:spacing w:after="0"/>
              <w:ind w:left="658"/>
              <w:jc w:val="right"/>
              <w:rPr>
                <w:rFonts w:ascii="Simplified Arabic" w:hAnsi="Simplified Arabic" w:cs="Simplified Arabic"/>
              </w:rPr>
            </w:pPr>
            <w:r w:rsidRPr="000304B0">
              <w:rPr>
                <w:rFonts w:ascii="Simplified Arabic" w:hAnsi="Simplified Arabic" w:cs="Simplified Arabic"/>
              </w:rPr>
              <w:t xml:space="preserve">Bolt GH and </w:t>
            </w:r>
            <w:proofErr w:type="spellStart"/>
            <w:r w:rsidRPr="000304B0">
              <w:rPr>
                <w:rFonts w:ascii="Simplified Arabic" w:hAnsi="Simplified Arabic" w:cs="Simplified Arabic"/>
              </w:rPr>
              <w:t>Bruggenwert</w:t>
            </w:r>
            <w:proofErr w:type="spellEnd"/>
            <w:r w:rsidRPr="000304B0">
              <w:rPr>
                <w:rFonts w:ascii="Simplified Arabic" w:hAnsi="Simplified Arabic" w:cs="Simplified Arabic"/>
              </w:rPr>
              <w:t xml:space="preserve"> MGM (ed.). 1978. Soil chemistry.  A.</w:t>
            </w:r>
            <w:r w:rsidRPr="000304B0">
              <w:rPr>
                <w:rFonts w:ascii="Simplified Arabic" w:hAnsi="Simplified Arabic" w:cs="Simplified Arabic" w:hint="cs"/>
              </w:rPr>
              <w:t xml:space="preserve"> </w:t>
            </w:r>
            <w:r w:rsidRPr="000304B0">
              <w:rPr>
                <w:rFonts w:ascii="Simplified Arabic" w:hAnsi="Simplified Arabic" w:cs="Simplified Arabic"/>
              </w:rPr>
              <w:t xml:space="preserve">basic elements. Elsevier scientific Publishing Company, </w:t>
            </w:r>
            <w:smartTag w:uri="urn:schemas-microsoft-com:office:smarttags" w:element="place">
              <w:smartTag w:uri="urn:schemas-microsoft-com:office:smarttags" w:element="country-region">
                <w:r w:rsidRPr="000304B0">
                  <w:rPr>
                    <w:rFonts w:ascii="Simplified Arabic" w:hAnsi="Simplified Arabic" w:cs="Simplified Arabic"/>
                  </w:rPr>
                  <w:t>Netherlands</w:t>
                </w:r>
              </w:smartTag>
            </w:smartTag>
          </w:p>
          <w:p w:rsidR="000304B0" w:rsidRPr="000304B0" w:rsidRDefault="000304B0" w:rsidP="000304B0">
            <w:pPr>
              <w:tabs>
                <w:tab w:val="left" w:pos="4059"/>
              </w:tabs>
              <w:spacing w:after="0"/>
              <w:ind w:left="658"/>
              <w:jc w:val="right"/>
              <w:rPr>
                <w:rFonts w:ascii="Simplified Arabic" w:hAnsi="Simplified Arabic" w:cs="Simplified Arabic"/>
              </w:rPr>
            </w:pPr>
            <w:r w:rsidRPr="000304B0">
              <w:rPr>
                <w:rFonts w:ascii="Simplified Arabic" w:hAnsi="Simplified Arabic" w:cs="Simplified Arabic"/>
              </w:rPr>
              <w:t>Tan KH. 1993. Principles of soil chemistry. Marcel Dekker, Inc</w:t>
            </w:r>
            <w:r w:rsidRPr="000304B0">
              <w:rPr>
                <w:rFonts w:ascii="Simplified Arabic" w:hAnsi="Simplified Arabic" w:cs="Simplified Arabic" w:hint="cs"/>
              </w:rPr>
              <w:t>.</w:t>
            </w:r>
          </w:p>
          <w:p w:rsidR="000304B0" w:rsidRPr="000304B0" w:rsidRDefault="000304B0" w:rsidP="000304B0">
            <w:pPr>
              <w:tabs>
                <w:tab w:val="left" w:pos="4059"/>
              </w:tabs>
              <w:spacing w:after="0"/>
              <w:ind w:left="658"/>
              <w:rPr>
                <w:rFonts w:ascii="Simplified Arabic" w:hAnsi="Simplified Arabic" w:cs="Simplified Arabic"/>
                <w:rtl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عبد الحكيم جمعة, العيسوي الذهبي, مصطفي عمارة، السيد الخطيب. 1999. اساسيات علم الأراضي. مؤلفات قسم الأراضي و المياه, كلية الزراعة, جامعة الأسكندرية.</w:t>
            </w:r>
          </w:p>
          <w:p w:rsidR="00E978C0" w:rsidRPr="00FE3E88" w:rsidRDefault="000304B0" w:rsidP="000304B0">
            <w:pPr>
              <w:tabs>
                <w:tab w:val="left" w:pos="4059"/>
              </w:tabs>
              <w:spacing w:after="0"/>
              <w:ind w:left="658"/>
              <w:rPr>
                <w:rFonts w:ascii="Times New Roman" w:hAnsi="Times New Roman" w:cs="Times New Roman"/>
                <w:sz w:val="28"/>
                <w:szCs w:val="28"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محمد حسن, فوزي كشك و أحمد السيوي. 1972. أصول الايدافولوجي. الجزء الأول... نظام التربة. دار الكتب الجامعية, الأسكندرية</w:t>
            </w: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 J of soils science</w:t>
            </w:r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J of soil science</w:t>
            </w:r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Geoderma</w:t>
            </w:r>
            <w:proofErr w:type="spellEnd"/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Chemosphere</w:t>
            </w:r>
          </w:p>
          <w:p w:rsidR="000304B0" w:rsidRPr="00FE3E88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 and soil</w:t>
            </w:r>
          </w:p>
        </w:tc>
      </w:tr>
    </w:tbl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250E8" w:rsidRDefault="006250E8" w:rsidP="00625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White board, white board marker, data show, , flame photometer, automatic pipettes- glassware (measuring flasks, conical flasks, burettes, pipettes), filter papers,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Atomic absorption and flame emission spectrometry</w:t>
      </w:r>
      <w:r>
        <w:rPr>
          <w:rFonts w:ascii="Arial" w:hAnsi="Arial"/>
        </w:rPr>
        <w:t xml:space="preserve">, </w:t>
      </w:r>
      <w:r w:rsidRPr="00C3478D">
        <w:rPr>
          <w:rFonts w:ascii="Arial" w:hAnsi="Arial"/>
        </w:rPr>
        <w:t>Induced coupled plasma optical emission spectrometry</w:t>
      </w:r>
      <w:r>
        <w:rPr>
          <w:rFonts w:ascii="Arial" w:hAnsi="Arial"/>
        </w:rPr>
        <w:t>.</w:t>
      </w:r>
    </w:p>
    <w:p w:rsidR="0064312A" w:rsidRPr="00B74B57" w:rsidRDefault="00BC4A60" w:rsidP="00663858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  <w:r w:rsidR="0064312A" w:rsidRPr="00B74B57">
        <w:rPr>
          <w:rFonts w:ascii="Arial" w:hAnsi="Arial"/>
          <w:b/>
          <w:bCs/>
          <w:sz w:val="28"/>
          <w:szCs w:val="28"/>
          <w:rtl/>
        </w:rPr>
        <w:t xml:space="preserve"> </w:t>
      </w:r>
    </w:p>
    <w:p w:rsidR="0064312A" w:rsidRPr="00B74B57" w:rsidRDefault="0064312A" w:rsidP="005D00A7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5D00A7">
        <w:rPr>
          <w:rFonts w:ascii="Arial" w:hAnsi="Arial" w:hint="cs"/>
          <w:sz w:val="28"/>
          <w:szCs w:val="28"/>
          <w:rtl/>
        </w:rPr>
        <w:t>أ.</w:t>
      </w:r>
      <w:r w:rsidR="00BD5835" w:rsidRPr="000C4DF3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د/ </w:t>
      </w:r>
      <w:r w:rsidR="005D00A7">
        <w:rPr>
          <w:rFonts w:cs="Arabic Transparent" w:hint="cs"/>
          <w:b/>
          <w:bCs/>
          <w:color w:val="FF0000"/>
          <w:sz w:val="28"/>
          <w:szCs w:val="28"/>
          <w:rtl/>
        </w:rPr>
        <w:t>إيهاب محمد فريد</w:t>
      </w:r>
      <w:r w:rsidR="00BD5835" w:rsidRPr="000C4DF3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 أ.د.</w:t>
      </w:r>
      <w:r w:rsidR="0098465F">
        <w:rPr>
          <w:rFonts w:ascii="Arial" w:hAnsi="Arial" w:hint="cs"/>
          <w:sz w:val="28"/>
          <w:szCs w:val="28"/>
          <w:rtl/>
        </w:rPr>
        <w:t>أبوالنصر هاشم عبد الحميد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</w:t>
      </w:r>
      <w:bookmarkStart w:id="0" w:name="_GoBack"/>
      <w:bookmarkEnd w:id="0"/>
      <w:r w:rsidRPr="00B74B57">
        <w:rPr>
          <w:rFonts w:ascii="Arial" w:hAnsi="Arial"/>
          <w:b/>
          <w:bCs/>
          <w:sz w:val="28"/>
          <w:szCs w:val="28"/>
          <w:rtl/>
        </w:rPr>
        <w:t>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93" w:rsidRDefault="00DD7D93" w:rsidP="0099263D">
      <w:pPr>
        <w:spacing w:after="0" w:line="240" w:lineRule="auto"/>
      </w:pPr>
      <w:r>
        <w:separator/>
      </w:r>
    </w:p>
  </w:endnote>
  <w:endnote w:type="continuationSeparator" w:id="0">
    <w:p w:rsidR="00DD7D93" w:rsidRDefault="00DD7D93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93" w:rsidRDefault="00DD7D93" w:rsidP="0099263D">
      <w:pPr>
        <w:spacing w:after="0" w:line="240" w:lineRule="auto"/>
      </w:pPr>
      <w:r>
        <w:separator/>
      </w:r>
    </w:p>
  </w:footnote>
  <w:footnote w:type="continuationSeparator" w:id="0">
    <w:p w:rsidR="00DD7D93" w:rsidRDefault="00DD7D93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5D00A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304B0"/>
    <w:rsid w:val="00066906"/>
    <w:rsid w:val="0008100B"/>
    <w:rsid w:val="000F2D21"/>
    <w:rsid w:val="00141358"/>
    <w:rsid w:val="00152624"/>
    <w:rsid w:val="00152BBF"/>
    <w:rsid w:val="00176C8C"/>
    <w:rsid w:val="0018544A"/>
    <w:rsid w:val="00187D3B"/>
    <w:rsid w:val="001E1E23"/>
    <w:rsid w:val="00211A18"/>
    <w:rsid w:val="0022197A"/>
    <w:rsid w:val="0023255C"/>
    <w:rsid w:val="00243F3F"/>
    <w:rsid w:val="00261546"/>
    <w:rsid w:val="002C0120"/>
    <w:rsid w:val="002D01BA"/>
    <w:rsid w:val="002E3313"/>
    <w:rsid w:val="003A028C"/>
    <w:rsid w:val="00435C2C"/>
    <w:rsid w:val="004D5B78"/>
    <w:rsid w:val="004F5EDC"/>
    <w:rsid w:val="00535442"/>
    <w:rsid w:val="00544D17"/>
    <w:rsid w:val="0056480D"/>
    <w:rsid w:val="0057469E"/>
    <w:rsid w:val="00586CB8"/>
    <w:rsid w:val="005D00A7"/>
    <w:rsid w:val="005D0A18"/>
    <w:rsid w:val="00604AFC"/>
    <w:rsid w:val="00620FB5"/>
    <w:rsid w:val="00623837"/>
    <w:rsid w:val="006250E8"/>
    <w:rsid w:val="0064312A"/>
    <w:rsid w:val="00663858"/>
    <w:rsid w:val="00686E05"/>
    <w:rsid w:val="006B735B"/>
    <w:rsid w:val="00731C97"/>
    <w:rsid w:val="007336C3"/>
    <w:rsid w:val="00746CF2"/>
    <w:rsid w:val="00784F20"/>
    <w:rsid w:val="007D5EB4"/>
    <w:rsid w:val="007F0676"/>
    <w:rsid w:val="00822815"/>
    <w:rsid w:val="008A5C97"/>
    <w:rsid w:val="008C005F"/>
    <w:rsid w:val="009050EE"/>
    <w:rsid w:val="00923FE7"/>
    <w:rsid w:val="0098465F"/>
    <w:rsid w:val="0099263D"/>
    <w:rsid w:val="009A3FE1"/>
    <w:rsid w:val="009F2D4F"/>
    <w:rsid w:val="00A33CA6"/>
    <w:rsid w:val="00A44823"/>
    <w:rsid w:val="00A55BBC"/>
    <w:rsid w:val="00AE1AA7"/>
    <w:rsid w:val="00B31B2A"/>
    <w:rsid w:val="00BC4A60"/>
    <w:rsid w:val="00BC4CF4"/>
    <w:rsid w:val="00BC7623"/>
    <w:rsid w:val="00BD5835"/>
    <w:rsid w:val="00BF0979"/>
    <w:rsid w:val="00C06B6C"/>
    <w:rsid w:val="00C40E57"/>
    <w:rsid w:val="00DA5D34"/>
    <w:rsid w:val="00DB734B"/>
    <w:rsid w:val="00DD7D93"/>
    <w:rsid w:val="00E33D4A"/>
    <w:rsid w:val="00E978C0"/>
    <w:rsid w:val="00E97CB0"/>
    <w:rsid w:val="00EF6570"/>
    <w:rsid w:val="00F2109D"/>
    <w:rsid w:val="00F24F06"/>
    <w:rsid w:val="00F27597"/>
    <w:rsid w:val="00F905D0"/>
    <w:rsid w:val="00FB7ECC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4B0"/>
    <w:pPr>
      <w:bidi w:val="0"/>
      <w:spacing w:after="0" w:line="240" w:lineRule="auto"/>
    </w:pPr>
    <w:rPr>
      <w:rFonts w:ascii="Times New Roman" w:eastAsia="Times New Roman" w:hAnsi="Times New Roman" w:cs="Traditional Arabic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304B0"/>
    <w:rPr>
      <w:rFonts w:ascii="Times New Roman" w:eastAsia="Times New Roman" w:hAnsi="Times New Roman" w:cs="Traditional Arabic"/>
      <w:sz w:val="24"/>
    </w:rPr>
  </w:style>
  <w:style w:type="paragraph" w:styleId="BodyTextIndent">
    <w:name w:val="Body Text Indent"/>
    <w:basedOn w:val="Normal"/>
    <w:link w:val="BodyTextIndentChar"/>
    <w:rsid w:val="000304B0"/>
    <w:pPr>
      <w:spacing w:after="120" w:line="360" w:lineRule="exact"/>
      <w:ind w:left="360"/>
    </w:pPr>
    <w:rPr>
      <w:rFonts w:ascii="Times New Roman" w:eastAsia="Times New Roman" w:hAnsi="Times New Roman" w:cs="Arabic Transparent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304B0"/>
    <w:rPr>
      <w:rFonts w:ascii="Times New Roman" w:eastAsia="Times New Roman" w:hAnsi="Times New Roman" w:cs="Arabic Transparent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 Esmat</cp:lastModifiedBy>
  <cp:revision>7</cp:revision>
  <dcterms:created xsi:type="dcterms:W3CDTF">2015-09-15T07:57:00Z</dcterms:created>
  <dcterms:modified xsi:type="dcterms:W3CDTF">2015-12-18T04:32:00Z</dcterms:modified>
</cp:coreProperties>
</file>